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 w:eastAsia="zh-CN"/>
        </w:rPr>
        <w:t>-2024学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  <w:t>年全国青少年航天创新大赛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 w:eastAsia="zh-CN"/>
        </w:rPr>
        <w:t>综合赛区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eastAsia="zh-CN"/>
        </w:rPr>
        <w:t>选拔赛赛事规则解读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 w:eastAsia="zh-CN"/>
        </w:rPr>
        <w:t>会的通知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2312" w:hAnsi="方正仿宋_GB2312" w:eastAsia="方正仿宋_GB2312" w:cs="方正仿宋_GB2312"/>
          <w:color w:val="0000FF"/>
          <w:sz w:val="32"/>
          <w:szCs w:val="32"/>
          <w:u w:val="singl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各县市区科协、教育和体育局，各功能区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部门，市直各学校：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了解学习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-2024学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年全国青少年航天创新大赛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相关赛事规则，提升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教师引领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学生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参赛的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指导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水平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培育更多热爱航天科技和国防事业的后备人才，以加快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推动全市青少年科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教育活动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健康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发展，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为全市新质生产力发展服务。泰安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市科技馆（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泰安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市青少年科技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中心）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与市教育局基础教育科决定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将于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日举办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-2024学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年全国青少年航天创新大赛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综合赛区选拔赛赛事规则解读会，现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将有关事项通知如下：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</w:rPr>
        <w:t>一、时间和地点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（一）时间：202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日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08:30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17:00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（二）地点：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泰安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市科技馆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一楼科普剧场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泰安市岱岳区东岳大街481—1号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  <w:lang w:eastAsia="zh-CN"/>
        </w:rPr>
        <w:t>学习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2023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-2024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年全国青少年航天创新大赛规则解读、规则研讨、参赛注意事项等。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  <w:lang w:eastAsia="zh-CN"/>
        </w:rPr>
        <w:t>三、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</w:rPr>
        <w:t>参加人员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全市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各中小学校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在职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教师，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同时开放线上会议，以便上海、甘肃、青海、西藏等地相关教师参加学习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  <w:lang w:eastAsia="zh-CN"/>
        </w:rPr>
        <w:t>四、活动要求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instrText xml:space="preserve"> HYPERLINK "mailto:1、请将《报名回执》（见附件1），于3月2日前发送至邮箱（kejihuodong@qd.shandong.cn）。"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以县市区为单位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将《报名回执》（见附件），于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15:00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前发送至邮箱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tasqfx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eastAsia="zh-Hans"/>
        </w:rPr>
        <w:t>@163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.com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2、会议不收取任何费用，食宿费、交通费自理，按规定回单位报销。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综合赛区组委会办公室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联系人：张锐 侯斌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联系方式：0538-8413780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电子邮箱：tasqfx@163.com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方正公文黑体" w:hAnsi="方正公文黑体" w:eastAsia="方正公文黑体" w:cs="方正公文黑体"/>
          <w:b w:val="0"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日程表及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报名回执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全国青少年航天创新大赛综合赛区组委会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</w:t>
      </w:r>
    </w:p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 w:eastAsia="zh-CN"/>
        </w:rPr>
        <w:t>-2024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  <w:t>年全国青少年航天创新大赛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 w:eastAsia="zh-CN"/>
        </w:rPr>
        <w:t>北方赛区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eastAsia="zh-CN"/>
        </w:rPr>
        <w:t>选拔赛赛事规则解读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 w:eastAsia="zh-CN"/>
        </w:rPr>
        <w:t>会日程表</w:t>
      </w:r>
    </w:p>
    <w:tbl>
      <w:tblPr>
        <w:tblStyle w:val="2"/>
        <w:tblW w:w="8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600"/>
        <w:gridCol w:w="1006"/>
        <w:gridCol w:w="936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赛       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形式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老师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“火星家园”场地赛（20分钟）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“星际探索”场地赛（20分钟）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胡乔磊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天文望远镜设计制作与探究赛（20分钟）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载人航天方向（15分钟）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10:05-11:10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深空探测方向（15分钟）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北斗导航应用方向（15分钟）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“筑梦天宫”挑战赛（20分钟）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航天科技创新赛（15分钟）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唐昊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11:10-11:45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空间站科学实验（试验）方案及实验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（试验）装置设计赛（20分钟）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“星球车”场地赛（20分钟）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13:30-15:00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“星际救援”场地赛（20分钟）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“星矿探测”场地赛（20分钟）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无人机编程技能场地赛（15分钟）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宋博扬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无人机操作技能场地赛（15分钟）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赛项场地观摩与交流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15:00-17:00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宋体" w:eastAsia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 w:eastAsia="zh-CN"/>
        </w:rPr>
        <w:t>-2024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  <w:t>年全国青少年航天创新大赛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 w:eastAsia="zh-CN"/>
        </w:rPr>
        <w:t>北方赛区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eastAsia="zh-CN"/>
        </w:rPr>
        <w:t>选拔赛赛事规则解读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  <w:lang w:val="en-US" w:eastAsia="zh-CN"/>
        </w:rPr>
        <w:t>会报名回执</w:t>
      </w:r>
    </w:p>
    <w:p>
      <w:pPr>
        <w:spacing w:line="530" w:lineRule="exact"/>
        <w:jc w:val="left"/>
        <w:rPr>
          <w:rFonts w:hint="eastAsia" w:ascii="仿宋_GB2312" w:eastAsia="仿宋_GB2312"/>
          <w:color w:val="000000"/>
          <w:sz w:val="28"/>
          <w:szCs w:val="28"/>
          <w:u w:val="single"/>
        </w:rPr>
      </w:pPr>
    </w:p>
    <w:tbl>
      <w:tblPr>
        <w:tblStyle w:val="2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492"/>
        <w:gridCol w:w="3486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486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spacing w:line="53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color w:val="000000"/>
          <w:spacing w:val="4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0B6A99-10AE-4237-8E3A-3DB25830F3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8210341-059A-465B-AC9D-0EB0CB3E31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73768C-3631-4E68-8751-B7CA9E4E05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9255ADF-25ED-4C03-BD14-79A9A0289255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E4F23786-2A68-48B7-9AD3-3C3649F98E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619F5B8-FFA2-4045-82E8-4CC22C659CE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236F2672-D9AF-42F4-A11D-50581F5D9D3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3BAFD720-EC7F-4CC7-B4E7-14A2314EA2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jJiNWMxOGM3ZjlmYWRlOTg0OTcwMDFjNzJlOTMifQ=="/>
  </w:docVars>
  <w:rsids>
    <w:rsidRoot w:val="105514EE"/>
    <w:rsid w:val="1055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2024-04-08T03:06:00Z</dcterms:created>
  <dc:creator>xyz</dc:creator>
  <cp:lastModifiedBy>xyz</cp:lastModifiedBy>
  <dcterms:modified xsi:type="dcterms:W3CDTF">2024-04-08T03:11:01Z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107F2F2DB7594F5E824359CA87BB8F11_11</vt:lpwstr>
  </property>
</Properties>
</file>